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94F700" w14:textId="2B66941C" w:rsidR="00B40DE0" w:rsidRDefault="00B40DE0" w:rsidP="00B40DE0">
      <w:pPr>
        <w:pStyle w:val="Heading1"/>
        <w:pBdr>
          <w:bottom w:val="single" w:sz="4" w:space="1" w:color="auto"/>
        </w:pBdr>
        <w:spacing w:before="0"/>
        <w:rPr>
          <w:b/>
        </w:rPr>
      </w:pPr>
      <w:bookmarkStart w:id="0" w:name="_Toc536041985"/>
      <w:r w:rsidRPr="00DE544A">
        <w:rPr>
          <w:b/>
        </w:rPr>
        <w:t xml:space="preserve">Methodology for defining the settlement boundaries and its application for </w:t>
      </w:r>
      <w:bookmarkEnd w:id="0"/>
      <w:r>
        <w:rPr>
          <w:b/>
        </w:rPr>
        <w:t>Fleckney</w:t>
      </w:r>
    </w:p>
    <w:p w14:paraId="74D4912A" w14:textId="77777777" w:rsidR="00B40DE0" w:rsidRDefault="00B40DE0" w:rsidP="00B40DE0">
      <w:pPr>
        <w:pStyle w:val="Heading2"/>
      </w:pPr>
      <w:bookmarkStart w:id="1" w:name="_Toc536041986"/>
      <w:r>
        <w:t>Background</w:t>
      </w:r>
      <w:bookmarkEnd w:id="1"/>
      <w:r>
        <w:t xml:space="preserve"> </w:t>
      </w:r>
    </w:p>
    <w:p w14:paraId="19D1F41E" w14:textId="194CB20B" w:rsidR="00B40DE0" w:rsidRPr="00DA0CE3" w:rsidRDefault="00B40DE0" w:rsidP="00B40DE0">
      <w:pPr>
        <w:rPr>
          <w:sz w:val="24"/>
          <w:szCs w:val="24"/>
        </w:rPr>
      </w:pPr>
      <w:r>
        <w:rPr>
          <w:sz w:val="24"/>
          <w:szCs w:val="24"/>
        </w:rPr>
        <w:t>Limits to Development</w:t>
      </w:r>
      <w:r w:rsidRPr="00DA0CE3">
        <w:rPr>
          <w:sz w:val="24"/>
          <w:szCs w:val="24"/>
        </w:rPr>
        <w:t xml:space="preserve"> provide clear, defensible boundaries around settlements within which development will normally be confined. They have been used as a planning policy tool in </w:t>
      </w:r>
      <w:r>
        <w:rPr>
          <w:sz w:val="24"/>
          <w:szCs w:val="24"/>
        </w:rPr>
        <w:t>Harborough District</w:t>
      </w:r>
      <w:r w:rsidRPr="00DA0CE3">
        <w:rPr>
          <w:sz w:val="24"/>
          <w:szCs w:val="24"/>
        </w:rPr>
        <w:t xml:space="preserve"> for a considerable time and are a well understood planning tool for managing development. </w:t>
      </w:r>
    </w:p>
    <w:p w14:paraId="268EE01E" w14:textId="2DB35869" w:rsidR="00B40DE0" w:rsidRPr="00DA0CE3" w:rsidRDefault="00B40DE0" w:rsidP="00B40DE0">
      <w:pPr>
        <w:rPr>
          <w:sz w:val="24"/>
          <w:szCs w:val="24"/>
        </w:rPr>
      </w:pPr>
      <w:r>
        <w:rPr>
          <w:sz w:val="24"/>
          <w:szCs w:val="24"/>
        </w:rPr>
        <w:t>Limits to Development</w:t>
      </w:r>
      <w:r w:rsidRPr="00DA0CE3">
        <w:rPr>
          <w:sz w:val="24"/>
          <w:szCs w:val="24"/>
        </w:rPr>
        <w:t xml:space="preserve"> </w:t>
      </w:r>
      <w:r>
        <w:rPr>
          <w:sz w:val="24"/>
          <w:szCs w:val="24"/>
        </w:rPr>
        <w:t>were</w:t>
      </w:r>
      <w:r w:rsidRPr="00DA0CE3">
        <w:rPr>
          <w:sz w:val="24"/>
          <w:szCs w:val="24"/>
        </w:rPr>
        <w:t xml:space="preserve"> defined by the 20</w:t>
      </w:r>
      <w:r>
        <w:rPr>
          <w:sz w:val="24"/>
          <w:szCs w:val="24"/>
        </w:rPr>
        <w:t>01</w:t>
      </w:r>
      <w:r w:rsidRPr="00DA0CE3">
        <w:rPr>
          <w:sz w:val="24"/>
          <w:szCs w:val="24"/>
        </w:rPr>
        <w:t xml:space="preserve"> </w:t>
      </w:r>
      <w:r>
        <w:rPr>
          <w:sz w:val="24"/>
          <w:szCs w:val="24"/>
        </w:rPr>
        <w:t xml:space="preserve">Harborough Local Plan but this was </w:t>
      </w:r>
      <w:r w:rsidRPr="00B40DE0">
        <w:rPr>
          <w:sz w:val="24"/>
          <w:szCs w:val="24"/>
        </w:rPr>
        <w:t>superseded on 30 April 2019, by the Harborough Local Plan 2011-2031</w:t>
      </w:r>
      <w:r w:rsidRPr="00DA0CE3">
        <w:rPr>
          <w:sz w:val="24"/>
          <w:szCs w:val="24"/>
        </w:rPr>
        <w:t xml:space="preserve">. </w:t>
      </w:r>
      <w:r>
        <w:rPr>
          <w:sz w:val="24"/>
          <w:szCs w:val="24"/>
        </w:rPr>
        <w:t xml:space="preserve">The new Harborough Local Plan does not identify Limits to Development. </w:t>
      </w:r>
      <w:r w:rsidRPr="00DA0CE3">
        <w:rPr>
          <w:sz w:val="24"/>
          <w:szCs w:val="24"/>
        </w:rPr>
        <w:t xml:space="preserve">The </w:t>
      </w:r>
      <w:r w:rsidR="006A1E4A">
        <w:rPr>
          <w:sz w:val="24"/>
          <w:szCs w:val="24"/>
        </w:rPr>
        <w:t>Fleckney</w:t>
      </w:r>
      <w:r w:rsidRPr="00DA0CE3">
        <w:rPr>
          <w:sz w:val="24"/>
          <w:szCs w:val="24"/>
        </w:rPr>
        <w:t xml:space="preserve"> Neighbourhood Plan provides an opportunity to review the </w:t>
      </w:r>
      <w:r>
        <w:rPr>
          <w:sz w:val="24"/>
          <w:szCs w:val="24"/>
        </w:rPr>
        <w:t xml:space="preserve">Limits to </w:t>
      </w:r>
      <w:r w:rsidR="006A1E4A">
        <w:rPr>
          <w:sz w:val="24"/>
          <w:szCs w:val="24"/>
        </w:rPr>
        <w:t xml:space="preserve">Development </w:t>
      </w:r>
      <w:r w:rsidR="006A1E4A" w:rsidRPr="00DA0CE3">
        <w:rPr>
          <w:sz w:val="24"/>
          <w:szCs w:val="24"/>
        </w:rPr>
        <w:t>to</w:t>
      </w:r>
      <w:r w:rsidRPr="00DA0CE3">
        <w:rPr>
          <w:sz w:val="24"/>
          <w:szCs w:val="24"/>
        </w:rPr>
        <w:t xml:space="preserve"> ensure they remain up to date. The </w:t>
      </w:r>
      <w:r>
        <w:rPr>
          <w:sz w:val="24"/>
          <w:szCs w:val="24"/>
        </w:rPr>
        <w:t xml:space="preserve">Limits to </w:t>
      </w:r>
      <w:r w:rsidR="006A1E4A">
        <w:rPr>
          <w:sz w:val="24"/>
          <w:szCs w:val="24"/>
        </w:rPr>
        <w:t xml:space="preserve">Development </w:t>
      </w:r>
      <w:r w:rsidR="006A1E4A" w:rsidRPr="00DA0CE3">
        <w:rPr>
          <w:sz w:val="24"/>
          <w:szCs w:val="24"/>
        </w:rPr>
        <w:t>distinguish</w:t>
      </w:r>
      <w:r w:rsidRPr="00DA0CE3">
        <w:rPr>
          <w:sz w:val="24"/>
          <w:szCs w:val="24"/>
        </w:rPr>
        <w:t xml:space="preserve"> between areas of development and development potential and areas of restraint, such as countryside. </w:t>
      </w:r>
    </w:p>
    <w:p w14:paraId="5238A1BC" w14:textId="77777777" w:rsidR="00B40DE0" w:rsidRDefault="00B40DE0" w:rsidP="00B40DE0">
      <w:pPr>
        <w:pStyle w:val="Heading2"/>
      </w:pPr>
      <w:bookmarkStart w:id="2" w:name="_Toc536041987"/>
      <w:r>
        <w:t>Methodology</w:t>
      </w:r>
      <w:bookmarkEnd w:id="2"/>
    </w:p>
    <w:p w14:paraId="61A18409" w14:textId="4566DAF7" w:rsidR="00B40DE0" w:rsidRPr="00DA0CE3" w:rsidRDefault="00B40DE0" w:rsidP="00B40DE0">
      <w:pPr>
        <w:rPr>
          <w:sz w:val="24"/>
          <w:szCs w:val="24"/>
        </w:rPr>
      </w:pPr>
      <w:r w:rsidRPr="00DA0CE3">
        <w:rPr>
          <w:sz w:val="24"/>
          <w:szCs w:val="24"/>
        </w:rPr>
        <w:t xml:space="preserve">The </w:t>
      </w:r>
      <w:r>
        <w:rPr>
          <w:sz w:val="24"/>
          <w:szCs w:val="24"/>
        </w:rPr>
        <w:t xml:space="preserve">Limits to </w:t>
      </w:r>
      <w:r w:rsidR="006A1E4A">
        <w:rPr>
          <w:sz w:val="24"/>
          <w:szCs w:val="24"/>
        </w:rPr>
        <w:t xml:space="preserve">Development </w:t>
      </w:r>
      <w:r w:rsidR="007937BE">
        <w:rPr>
          <w:sz w:val="24"/>
          <w:szCs w:val="24"/>
        </w:rPr>
        <w:t>previously</w:t>
      </w:r>
      <w:r w:rsidRPr="00DA0CE3">
        <w:rPr>
          <w:sz w:val="24"/>
          <w:szCs w:val="24"/>
        </w:rPr>
        <w:t xml:space="preserve"> defined by the 20</w:t>
      </w:r>
      <w:r w:rsidR="007937BE">
        <w:rPr>
          <w:sz w:val="24"/>
          <w:szCs w:val="24"/>
        </w:rPr>
        <w:t>01 Local Plan</w:t>
      </w:r>
      <w:r w:rsidRPr="00DA0CE3">
        <w:rPr>
          <w:sz w:val="24"/>
          <w:szCs w:val="24"/>
        </w:rPr>
        <w:t xml:space="preserve"> provide a good starting point for a review. The existing </w:t>
      </w:r>
      <w:r>
        <w:rPr>
          <w:sz w:val="24"/>
          <w:szCs w:val="24"/>
        </w:rPr>
        <w:t xml:space="preserve">Limits to Development </w:t>
      </w:r>
      <w:r w:rsidRPr="00DA0CE3">
        <w:rPr>
          <w:sz w:val="24"/>
          <w:szCs w:val="24"/>
        </w:rPr>
        <w:t xml:space="preserve">define the principal built-up area of </w:t>
      </w:r>
      <w:r w:rsidR="007937BE">
        <w:rPr>
          <w:sz w:val="24"/>
          <w:szCs w:val="24"/>
        </w:rPr>
        <w:t>Fleckney</w:t>
      </w:r>
      <w:r w:rsidRPr="00DA0CE3">
        <w:rPr>
          <w:sz w:val="24"/>
          <w:szCs w:val="24"/>
        </w:rPr>
        <w:t xml:space="preserve">. </w:t>
      </w:r>
    </w:p>
    <w:p w14:paraId="0C5325D7" w14:textId="72FB25A7" w:rsidR="00B40DE0" w:rsidRPr="00DA0CE3" w:rsidRDefault="00B40DE0" w:rsidP="00B40DE0">
      <w:pPr>
        <w:rPr>
          <w:sz w:val="24"/>
          <w:szCs w:val="24"/>
        </w:rPr>
      </w:pPr>
      <w:r w:rsidRPr="00DA0CE3">
        <w:rPr>
          <w:sz w:val="24"/>
          <w:szCs w:val="24"/>
        </w:rPr>
        <w:t xml:space="preserve">The review will ensure that, generally, open areas of countryside- agricultural land, paddocks, meadows, woodland, rivers and lakes, and other greenfield land (except for residential curtilages)- will continue to lie outside </w:t>
      </w:r>
      <w:r>
        <w:rPr>
          <w:sz w:val="24"/>
          <w:szCs w:val="24"/>
        </w:rPr>
        <w:t xml:space="preserve">Limits to </w:t>
      </w:r>
      <w:r w:rsidR="007937BE">
        <w:rPr>
          <w:sz w:val="24"/>
          <w:szCs w:val="24"/>
        </w:rPr>
        <w:t>Development.</w:t>
      </w:r>
      <w:r w:rsidRPr="00DA0CE3">
        <w:rPr>
          <w:sz w:val="24"/>
          <w:szCs w:val="24"/>
        </w:rPr>
        <w:t xml:space="preserve"> </w:t>
      </w:r>
    </w:p>
    <w:p w14:paraId="6CDF510A" w14:textId="77777777" w:rsidR="00B40DE0" w:rsidRPr="00DA0CE3" w:rsidRDefault="00B40DE0" w:rsidP="00B40DE0">
      <w:pPr>
        <w:rPr>
          <w:sz w:val="24"/>
          <w:szCs w:val="24"/>
        </w:rPr>
      </w:pPr>
      <w:r w:rsidRPr="00DA0CE3">
        <w:rPr>
          <w:sz w:val="24"/>
          <w:szCs w:val="24"/>
        </w:rPr>
        <w:t>The following methodology applies:</w:t>
      </w:r>
    </w:p>
    <w:p w14:paraId="4E34E5B7" w14:textId="77777777" w:rsidR="00B40DE0" w:rsidRPr="00BE2186" w:rsidRDefault="00B40DE0" w:rsidP="00B40DE0">
      <w:pPr>
        <w:pStyle w:val="ListParagraph"/>
        <w:numPr>
          <w:ilvl w:val="0"/>
          <w:numId w:val="1"/>
        </w:numPr>
        <w:ind w:left="567" w:hanging="567"/>
        <w:contextualSpacing w:val="0"/>
        <w:rPr>
          <w:sz w:val="24"/>
          <w:szCs w:val="24"/>
        </w:rPr>
      </w:pPr>
      <w:r w:rsidRPr="00BE2186">
        <w:rPr>
          <w:rFonts w:hint="eastAsia"/>
          <w:sz w:val="24"/>
          <w:szCs w:val="24"/>
        </w:rPr>
        <w:t>Where possible, boundaries should follow a defined feature that is visible on-site and on an OS plan e.g. field boundary, building, road, stream, wall or fence.</w:t>
      </w:r>
    </w:p>
    <w:p w14:paraId="5E5D8BB3" w14:textId="77777777" w:rsidR="00B40DE0" w:rsidRPr="00BE2186" w:rsidRDefault="00B40DE0" w:rsidP="00B40DE0">
      <w:pPr>
        <w:pStyle w:val="ListParagraph"/>
        <w:numPr>
          <w:ilvl w:val="0"/>
          <w:numId w:val="1"/>
        </w:numPr>
        <w:ind w:left="567" w:hanging="567"/>
        <w:contextualSpacing w:val="0"/>
        <w:rPr>
          <w:sz w:val="24"/>
          <w:szCs w:val="24"/>
        </w:rPr>
      </w:pPr>
      <w:r w:rsidRPr="00BE2186">
        <w:rPr>
          <w:rFonts w:hint="eastAsia"/>
          <w:sz w:val="24"/>
          <w:szCs w:val="24"/>
        </w:rPr>
        <w:t xml:space="preserve">Boundaries should generally follow the curtilage of properties. In the case of residential gardens, occasionally the curtilage of the property is not well defined or so large that it appears to form part of the countryside surrounding the settlement. In </w:t>
      </w:r>
      <w:r w:rsidRPr="00BE2186">
        <w:rPr>
          <w:sz w:val="24"/>
          <w:szCs w:val="24"/>
        </w:rPr>
        <w:t>these cases, the boundary should be defined to protect the landscape setting of the settlement.</w:t>
      </w:r>
    </w:p>
    <w:p w14:paraId="45C53349" w14:textId="77777777" w:rsidR="00B40DE0" w:rsidRPr="00BE2186" w:rsidRDefault="00B40DE0" w:rsidP="00B40DE0">
      <w:pPr>
        <w:pStyle w:val="ListParagraph"/>
        <w:numPr>
          <w:ilvl w:val="0"/>
          <w:numId w:val="1"/>
        </w:numPr>
        <w:ind w:left="567" w:hanging="567"/>
        <w:contextualSpacing w:val="0"/>
        <w:rPr>
          <w:sz w:val="24"/>
          <w:szCs w:val="24"/>
        </w:rPr>
      </w:pPr>
      <w:r w:rsidRPr="00BE2186">
        <w:rPr>
          <w:rFonts w:hint="eastAsia"/>
          <w:sz w:val="24"/>
          <w:szCs w:val="24"/>
        </w:rPr>
        <w:t xml:space="preserve">Isolated or sporadic development which is clearly detached from the principal built-up area should be excluded from within the boundary. </w:t>
      </w:r>
    </w:p>
    <w:p w14:paraId="394D4885" w14:textId="77777777" w:rsidR="00B40DE0" w:rsidRPr="00BE2186" w:rsidRDefault="00B40DE0" w:rsidP="00B40DE0">
      <w:pPr>
        <w:pStyle w:val="ListParagraph"/>
        <w:numPr>
          <w:ilvl w:val="0"/>
          <w:numId w:val="1"/>
        </w:numPr>
        <w:ind w:left="567" w:hanging="567"/>
        <w:contextualSpacing w:val="0"/>
        <w:rPr>
          <w:sz w:val="24"/>
          <w:szCs w:val="24"/>
        </w:rPr>
      </w:pPr>
      <w:r w:rsidRPr="00BE2186">
        <w:rPr>
          <w:rFonts w:hint="eastAsia"/>
          <w:sz w:val="24"/>
          <w:szCs w:val="24"/>
        </w:rPr>
        <w:lastRenderedPageBreak/>
        <w:t>Boundaries need not be continuous. It may be appropriate given the form of a settlement to define two or more separate areas.</w:t>
      </w:r>
    </w:p>
    <w:p w14:paraId="64E3D75A" w14:textId="1E95B67F" w:rsidR="00B40DE0" w:rsidRPr="00BE2186" w:rsidRDefault="00B40DE0" w:rsidP="00B40DE0">
      <w:pPr>
        <w:pStyle w:val="ListParagraph"/>
        <w:numPr>
          <w:ilvl w:val="0"/>
          <w:numId w:val="1"/>
        </w:numPr>
        <w:ind w:left="567" w:hanging="567"/>
        <w:contextualSpacing w:val="0"/>
        <w:rPr>
          <w:sz w:val="24"/>
          <w:szCs w:val="24"/>
        </w:rPr>
      </w:pPr>
      <w:r>
        <w:rPr>
          <w:rFonts w:hint="eastAsia"/>
          <w:sz w:val="24"/>
          <w:szCs w:val="24"/>
        </w:rPr>
        <w:t xml:space="preserve">Limits to </w:t>
      </w:r>
      <w:r w:rsidR="007937BE">
        <w:rPr>
          <w:sz w:val="24"/>
          <w:szCs w:val="24"/>
        </w:rPr>
        <w:t xml:space="preserve">Development </w:t>
      </w:r>
      <w:r w:rsidR="007937BE" w:rsidRPr="00BE2186">
        <w:rPr>
          <w:sz w:val="24"/>
          <w:szCs w:val="24"/>
        </w:rPr>
        <w:t>should</w:t>
      </w:r>
      <w:r w:rsidRPr="00BE2186">
        <w:rPr>
          <w:rFonts w:hint="eastAsia"/>
          <w:sz w:val="24"/>
          <w:szCs w:val="24"/>
        </w:rPr>
        <w:t xml:space="preserve"> be extended to include peripheral sites where there is an extant planning permission for residential or employment development. Similarly, sites that are to be allocated for development should be included within settlement bound</w:t>
      </w:r>
      <w:r w:rsidRPr="00BE2186">
        <w:rPr>
          <w:sz w:val="24"/>
          <w:szCs w:val="24"/>
        </w:rPr>
        <w:t>aries.</w:t>
      </w:r>
    </w:p>
    <w:p w14:paraId="13C98B03" w14:textId="77777777" w:rsidR="00B40DE0" w:rsidRPr="00BE2186" w:rsidRDefault="00B40DE0" w:rsidP="00B40DE0">
      <w:pPr>
        <w:pStyle w:val="ListParagraph"/>
        <w:numPr>
          <w:ilvl w:val="0"/>
          <w:numId w:val="1"/>
        </w:numPr>
        <w:ind w:left="567" w:hanging="567"/>
        <w:contextualSpacing w:val="0"/>
        <w:rPr>
          <w:sz w:val="24"/>
          <w:szCs w:val="24"/>
        </w:rPr>
      </w:pPr>
      <w:r w:rsidRPr="00BE2186">
        <w:rPr>
          <w:rFonts w:hint="eastAsia"/>
          <w:sz w:val="24"/>
          <w:szCs w:val="24"/>
        </w:rPr>
        <w:t>Peripheral playing fields, environmental space, garden centres and nurseries, allotments and community gardens should not be included within the boundary.</w:t>
      </w:r>
    </w:p>
    <w:p w14:paraId="35E6BA79" w14:textId="77777777" w:rsidR="00B40DE0" w:rsidRPr="00BE2186" w:rsidRDefault="00B40DE0" w:rsidP="00B40DE0">
      <w:pPr>
        <w:pStyle w:val="ListParagraph"/>
        <w:numPr>
          <w:ilvl w:val="0"/>
          <w:numId w:val="1"/>
        </w:numPr>
        <w:ind w:left="567" w:hanging="567"/>
        <w:contextualSpacing w:val="0"/>
        <w:rPr>
          <w:sz w:val="24"/>
          <w:szCs w:val="24"/>
        </w:rPr>
      </w:pPr>
      <w:r w:rsidRPr="00BE2186">
        <w:rPr>
          <w:rFonts w:hint="eastAsia"/>
          <w:sz w:val="24"/>
          <w:szCs w:val="24"/>
        </w:rPr>
        <w:t>Sewage Treatment Works, electricity sub-stations, pumping stations and other utility buildings on the edge of a settlement should be excluded from within the boundary.</w:t>
      </w:r>
    </w:p>
    <w:p w14:paraId="6F8C7943" w14:textId="77777777" w:rsidR="00B40DE0" w:rsidRPr="00BE2186" w:rsidRDefault="00B40DE0" w:rsidP="00B40DE0">
      <w:pPr>
        <w:pStyle w:val="ListParagraph"/>
        <w:numPr>
          <w:ilvl w:val="0"/>
          <w:numId w:val="1"/>
        </w:numPr>
        <w:ind w:left="567" w:hanging="567"/>
        <w:contextualSpacing w:val="0"/>
        <w:rPr>
          <w:sz w:val="24"/>
          <w:szCs w:val="24"/>
        </w:rPr>
      </w:pPr>
      <w:r w:rsidRPr="00BE2186">
        <w:rPr>
          <w:rFonts w:hint="eastAsia"/>
          <w:sz w:val="24"/>
          <w:szCs w:val="24"/>
        </w:rPr>
        <w:t>Agricultural buildings may be included in development boundaries if they are well related in terms of scale and positioning to the rest of the settlement. Account will also be taken of the availability of defensible boundaries and the age of the building</w:t>
      </w:r>
      <w:r w:rsidRPr="00BE2186">
        <w:rPr>
          <w:sz w:val="24"/>
          <w:szCs w:val="24"/>
        </w:rPr>
        <w:t xml:space="preserve"> (i.e. how established the building is in the settlement).</w:t>
      </w:r>
      <w:bookmarkStart w:id="3" w:name="_GoBack"/>
      <w:bookmarkEnd w:id="3"/>
    </w:p>
    <w:sectPr w:rsidR="00B40DE0" w:rsidRPr="00BE2186" w:rsidSect="001272C7">
      <w:pgSz w:w="11906" w:h="16838"/>
      <w:pgMar w:top="1440" w:right="1797"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2901AF"/>
    <w:multiLevelType w:val="hybridMultilevel"/>
    <w:tmpl w:val="7188D284"/>
    <w:lvl w:ilvl="0" w:tplc="83BE6E34">
      <w:start w:val="1"/>
      <w:numFmt w:val="bullet"/>
      <w:lvlText w:val=""/>
      <w:lvlJc w:val="left"/>
      <w:pPr>
        <w:ind w:left="720" w:hanging="360"/>
      </w:pPr>
      <w:rPr>
        <w:rFonts w:ascii="Wingdings" w:hAnsi="Wingdings" w:cs="Times New Roman" w:hint="default"/>
        <w:color w:val="FEC306" w:themeColor="accent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D4E0C9F"/>
    <w:multiLevelType w:val="hybridMultilevel"/>
    <w:tmpl w:val="CED0B0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DE0"/>
    <w:rsid w:val="0012634C"/>
    <w:rsid w:val="001272C7"/>
    <w:rsid w:val="003F4855"/>
    <w:rsid w:val="006A1E4A"/>
    <w:rsid w:val="007937BE"/>
    <w:rsid w:val="00B40DE0"/>
    <w:rsid w:val="00ED0C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6FC3C"/>
  <w15:chartTrackingRefBased/>
  <w15:docId w15:val="{F4080135-F31D-4600-816B-760E79D1E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0DE0"/>
    <w:rPr>
      <w:rFonts w:eastAsiaTheme="minorEastAsia"/>
      <w:lang w:eastAsia="en-GB"/>
    </w:rPr>
  </w:style>
  <w:style w:type="paragraph" w:styleId="Heading1">
    <w:name w:val="heading 1"/>
    <w:basedOn w:val="Normal"/>
    <w:next w:val="Normal"/>
    <w:link w:val="Heading1Char"/>
    <w:uiPriority w:val="9"/>
    <w:qFormat/>
    <w:rsid w:val="00B40DE0"/>
    <w:pPr>
      <w:keepNext/>
      <w:keepLines/>
      <w:spacing w:before="400" w:after="40" w:line="240" w:lineRule="auto"/>
      <w:outlineLvl w:val="0"/>
    </w:pPr>
    <w:rPr>
      <w:rFonts w:asciiTheme="majorHAnsi" w:eastAsiaTheme="majorEastAsia" w:hAnsiTheme="majorHAnsi" w:cstheme="majorBidi"/>
      <w:color w:val="204559" w:themeColor="accent1" w:themeShade="80"/>
      <w:sz w:val="36"/>
      <w:szCs w:val="36"/>
    </w:rPr>
  </w:style>
  <w:style w:type="paragraph" w:styleId="Heading2">
    <w:name w:val="heading 2"/>
    <w:basedOn w:val="Normal"/>
    <w:next w:val="Normal"/>
    <w:link w:val="Heading2Char"/>
    <w:uiPriority w:val="9"/>
    <w:unhideWhenUsed/>
    <w:qFormat/>
    <w:rsid w:val="00B40DE0"/>
    <w:pPr>
      <w:keepNext/>
      <w:keepLines/>
      <w:spacing w:before="40" w:after="0" w:line="240" w:lineRule="auto"/>
      <w:outlineLvl w:val="1"/>
    </w:pPr>
    <w:rPr>
      <w:rFonts w:asciiTheme="majorHAnsi" w:eastAsiaTheme="majorEastAsia" w:hAnsiTheme="majorHAnsi" w:cstheme="majorBidi"/>
      <w:color w:val="30678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0DE0"/>
    <w:rPr>
      <w:rFonts w:asciiTheme="majorHAnsi" w:eastAsiaTheme="majorEastAsia" w:hAnsiTheme="majorHAnsi" w:cstheme="majorBidi"/>
      <w:color w:val="204559" w:themeColor="accent1" w:themeShade="80"/>
      <w:sz w:val="36"/>
      <w:szCs w:val="36"/>
      <w:lang w:eastAsia="en-GB"/>
    </w:rPr>
  </w:style>
  <w:style w:type="character" w:customStyle="1" w:styleId="Heading2Char">
    <w:name w:val="Heading 2 Char"/>
    <w:basedOn w:val="DefaultParagraphFont"/>
    <w:link w:val="Heading2"/>
    <w:uiPriority w:val="9"/>
    <w:rsid w:val="00B40DE0"/>
    <w:rPr>
      <w:rFonts w:asciiTheme="majorHAnsi" w:eastAsiaTheme="majorEastAsia" w:hAnsiTheme="majorHAnsi" w:cstheme="majorBidi"/>
      <w:color w:val="306785" w:themeColor="accent1" w:themeShade="BF"/>
      <w:sz w:val="32"/>
      <w:szCs w:val="32"/>
      <w:lang w:eastAsia="en-GB"/>
    </w:rPr>
  </w:style>
  <w:style w:type="paragraph" w:styleId="ListParagraph">
    <w:name w:val="List Paragraph"/>
    <w:basedOn w:val="Normal"/>
    <w:uiPriority w:val="34"/>
    <w:qFormat/>
    <w:rsid w:val="00B40D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Fleckney">
  <a:themeElements>
    <a:clrScheme name="Marquee">
      <a:dk1>
        <a:srgbClr val="000000"/>
      </a:dk1>
      <a:lt1>
        <a:sysClr val="window" lastClr="FFFFFF"/>
      </a:lt1>
      <a:dk2>
        <a:srgbClr val="5E5E5E"/>
      </a:dk2>
      <a:lt2>
        <a:srgbClr val="DDDDDD"/>
      </a:lt2>
      <a:accent1>
        <a:srgbClr val="418AB3"/>
      </a:accent1>
      <a:accent2>
        <a:srgbClr val="A6B727"/>
      </a:accent2>
      <a:accent3>
        <a:srgbClr val="F69200"/>
      </a:accent3>
      <a:accent4>
        <a:srgbClr val="838383"/>
      </a:accent4>
      <a:accent5>
        <a:srgbClr val="FEC306"/>
      </a:accent5>
      <a:accent6>
        <a:srgbClr val="DF5327"/>
      </a:accent6>
      <a:hlink>
        <a:srgbClr val="F59E00"/>
      </a:hlink>
      <a:folHlink>
        <a:srgbClr val="B2B2B2"/>
      </a:folHlink>
    </a:clrScheme>
    <a:fontScheme name="Ion Boardroom">
      <a:majorFont>
        <a:latin typeface="Century Gothic" panose="020B050202020202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B050202020202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on Boardroom">
      <a:fillStyleLst>
        <a:solidFill>
          <a:schemeClr val="phClr"/>
        </a:solidFill>
        <a:gradFill rotWithShape="1">
          <a:gsLst>
            <a:gs pos="0">
              <a:schemeClr val="phClr">
                <a:tint val="64000"/>
                <a:lumMod val="118000"/>
              </a:schemeClr>
            </a:gs>
            <a:gs pos="100000">
              <a:schemeClr val="phClr">
                <a:tint val="92000"/>
                <a:alpha val="100000"/>
                <a:lumMod val="110000"/>
              </a:schemeClr>
            </a:gs>
          </a:gsLst>
          <a:lin ang="5400000" scaled="0"/>
        </a:gradFill>
        <a:gradFill rotWithShape="1">
          <a:gsLst>
            <a:gs pos="0">
              <a:schemeClr val="phClr">
                <a:tint val="98000"/>
                <a:lumMod val="114000"/>
              </a:schemeClr>
            </a:gs>
            <a:gs pos="100000">
              <a:schemeClr val="phClr">
                <a:shade val="90000"/>
                <a:lumMod val="84000"/>
              </a:schemeClr>
            </a:gs>
          </a:gsLst>
          <a:lin ang="5400000" scaled="0"/>
        </a:gradFill>
      </a:fillStyleLst>
      <a:lnStyleLst>
        <a:ln w="9525" cap="rnd" cmpd="sng" algn="ctr">
          <a:solidFill>
            <a:schemeClr val="phClr"/>
          </a:solidFill>
          <a:prstDash val="solid"/>
        </a:ln>
        <a:ln w="19050" cap="rnd" cmpd="sng" algn="ctr">
          <a:solidFill>
            <a:schemeClr val="phClr"/>
          </a:solidFill>
          <a:prstDash val="solid"/>
        </a:ln>
        <a:ln w="28575" cap="rnd" cmpd="sng"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8000"/>
                <a:hueMod val="124000"/>
                <a:satMod val="148000"/>
                <a:lumMod val="124000"/>
              </a:schemeClr>
            </a:gs>
            <a:gs pos="100000">
              <a:schemeClr val="phClr">
                <a:shade val="76000"/>
                <a:hueMod val="89000"/>
                <a:satMod val="164000"/>
                <a:lumMod val="56000"/>
              </a:schemeClr>
            </a:gs>
          </a:gsLst>
          <a:path path="circle">
            <a:fillToRect l="45000" t="65000" r="125000" b="100000"/>
          </a:path>
        </a:gradFill>
        <a:blipFill rotWithShape="1">
          <a:blip xmlns:r="http://schemas.openxmlformats.org/officeDocument/2006/relationships" r:embed="rId1">
            <a:duotone>
              <a:schemeClr val="phClr">
                <a:shade val="69000"/>
                <a:hueMod val="91000"/>
                <a:satMod val="164000"/>
                <a:lumMod val="74000"/>
              </a:schemeClr>
              <a:schemeClr val="phClr">
                <a:hueMod val="124000"/>
                <a:satMod val="140000"/>
                <a:lumMod val="142000"/>
              </a:schemeClr>
            </a:duotone>
          </a:blip>
          <a:stretch/>
        </a:blipFill>
      </a:bgFillStyleLst>
    </a:fmtScheme>
  </a:themeElements>
  <a:objectDefaults/>
  <a:extraClrSchemeLst/>
  <a:extLst>
    <a:ext uri="{05A4C25C-085E-4340-85A3-A5531E510DB2}">
      <thm15:themeFamily xmlns:thm15="http://schemas.microsoft.com/office/thememl/2012/main" name="Ion Boardroom" id="{FC33163D-4339-46B1-8EED-24C834239D99}" vid="{B8502691-933B-45FE-8764-BA278511EF27}"/>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453</Words>
  <Characters>2587</Characters>
  <Application>Microsoft Office Word</Application>
  <DocSecurity>0</DocSecurity>
  <Lines>21</Lines>
  <Paragraphs>6</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Methodology for defining the settlement boundaries and its application for Fleck</vt:lpstr>
      <vt:lpstr>    Background </vt:lpstr>
      <vt:lpstr>    Methodology</vt:lpstr>
    </vt:vector>
  </TitlesOfParts>
  <Company/>
  <LinksUpToDate>false</LinksUpToDate>
  <CharactersWithSpaces>3034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Wilkinson</dc:creator>
  <cp:keywords/>
  <dc:description/>
  <cp:lastModifiedBy>Colin Wilkinson</cp:lastModifiedBy>
  <cp:revision>3</cp:revision>
  <dcterms:created xsi:type="dcterms:W3CDTF">2019-05-31T11:02:00Z</dcterms:created>
  <dcterms:modified xsi:type="dcterms:W3CDTF">2019-05-31T11:13:00Z</dcterms:modified>
</cp:coreProperties>
</file>